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66973" w14:textId="77777777" w:rsidR="004A12B8" w:rsidRPr="00452737" w:rsidRDefault="004A12B8" w:rsidP="001F742A">
      <w:pPr>
        <w:spacing w:line="360" w:lineRule="auto"/>
        <w:jc w:val="center"/>
        <w:rPr>
          <w:b/>
          <w:szCs w:val="20"/>
        </w:rPr>
      </w:pPr>
      <w:r w:rsidRPr="00452737">
        <w:rPr>
          <w:b/>
          <w:szCs w:val="20"/>
        </w:rPr>
        <w:t>Anexo 2</w:t>
      </w:r>
    </w:p>
    <w:p w14:paraId="19F836F3" w14:textId="3CA83851" w:rsidR="004A12B8" w:rsidRDefault="004A12B8" w:rsidP="001F742A">
      <w:pPr>
        <w:spacing w:line="360" w:lineRule="auto"/>
        <w:jc w:val="center"/>
        <w:rPr>
          <w:b/>
          <w:szCs w:val="20"/>
        </w:rPr>
      </w:pPr>
      <w:r w:rsidRPr="00452737">
        <w:rPr>
          <w:b/>
          <w:szCs w:val="20"/>
        </w:rPr>
        <w:t>FICHA DE DEFINICIONES PARA LA OPERACI</w:t>
      </w:r>
      <w:r w:rsidR="00F83281">
        <w:rPr>
          <w:b/>
          <w:szCs w:val="20"/>
        </w:rPr>
        <w:t>ÓN DE LA CONTRALORÍA SOCIAL 202</w:t>
      </w:r>
      <w:r w:rsidR="001C37BF">
        <w:rPr>
          <w:b/>
          <w:szCs w:val="20"/>
        </w:rPr>
        <w:t>1</w:t>
      </w:r>
    </w:p>
    <w:p w14:paraId="6260B768" w14:textId="77777777" w:rsidR="00034C0E" w:rsidRPr="00034C0E" w:rsidRDefault="00034C0E" w:rsidP="001F742A">
      <w:pPr>
        <w:spacing w:line="360" w:lineRule="auto"/>
        <w:jc w:val="center"/>
        <w:rPr>
          <w:b/>
          <w:sz w:val="18"/>
          <w:szCs w:val="18"/>
        </w:rPr>
      </w:pPr>
    </w:p>
    <w:p w14:paraId="3368F44A" w14:textId="77777777" w:rsidR="008164CB" w:rsidRPr="00452737" w:rsidRDefault="008164CB" w:rsidP="001F742A">
      <w:pPr>
        <w:spacing w:line="360" w:lineRule="auto"/>
        <w:jc w:val="both"/>
        <w:rPr>
          <w:szCs w:val="20"/>
        </w:rPr>
      </w:pPr>
      <w:r w:rsidRPr="00452737">
        <w:rPr>
          <w:b/>
          <w:szCs w:val="20"/>
        </w:rPr>
        <w:t>Programa:</w:t>
      </w:r>
      <w:r w:rsidRPr="00452737">
        <w:rPr>
          <w:szCs w:val="20"/>
        </w:rPr>
        <w:t xml:space="preserve"> Programa para de Desarrollo Profesional Docente, para el Tipo Superior (PRODEP)</w:t>
      </w:r>
    </w:p>
    <w:p w14:paraId="6188829C" w14:textId="6646F465" w:rsidR="008164CB" w:rsidRPr="00452737" w:rsidRDefault="008164CB" w:rsidP="001C37BF">
      <w:pPr>
        <w:spacing w:line="360" w:lineRule="auto"/>
        <w:ind w:left="1560" w:hanging="1560"/>
        <w:jc w:val="both"/>
        <w:rPr>
          <w:szCs w:val="20"/>
        </w:rPr>
      </w:pPr>
      <w:r w:rsidRPr="00452737">
        <w:rPr>
          <w:b/>
          <w:szCs w:val="20"/>
        </w:rPr>
        <w:t>Objetivo General</w:t>
      </w:r>
      <w:r w:rsidRPr="00452737">
        <w:rPr>
          <w:szCs w:val="20"/>
        </w:rPr>
        <w:t xml:space="preserve">: </w:t>
      </w:r>
      <w:r w:rsidR="001C37BF" w:rsidRPr="001C37BF">
        <w:rPr>
          <w:szCs w:val="20"/>
        </w:rPr>
        <w:t xml:space="preserve">Fortalecer el perfil necesario para el desempeño de las funciones de las y los profesores de tiempo completo, personal docente y personal con funciones de dirección, supervisión o asesoría </w:t>
      </w:r>
      <w:r w:rsidR="00540CE8" w:rsidRPr="001C37BF">
        <w:rPr>
          <w:szCs w:val="20"/>
        </w:rPr>
        <w:t>técnico-pedagógica</w:t>
      </w:r>
      <w:r w:rsidR="001C37BF" w:rsidRPr="001C37BF">
        <w:rPr>
          <w:szCs w:val="20"/>
        </w:rPr>
        <w:t xml:space="preserve"> de las instituciones de educación públicas, a través de programas de formación, actualización académica, capacitación y/o proyectos de investigación en igualdad de oportunidades para mujeres y hombres.</w:t>
      </w:r>
    </w:p>
    <w:p w14:paraId="4D0772DD" w14:textId="0F4EDC3D" w:rsidR="008164CB" w:rsidRPr="00452737" w:rsidRDefault="008164CB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autorizado</w:t>
      </w:r>
      <w:r w:rsidRPr="00534FD1">
        <w:rPr>
          <w:b/>
          <w:szCs w:val="20"/>
        </w:rPr>
        <w:t>:</w:t>
      </w:r>
      <w:r w:rsidRPr="00534FD1">
        <w:rPr>
          <w:szCs w:val="20"/>
        </w:rPr>
        <w:t xml:space="preserve"> </w:t>
      </w:r>
      <w:r w:rsidR="001B6E59">
        <w:rPr>
          <w:szCs w:val="20"/>
        </w:rPr>
        <w:t>102,153,724</w:t>
      </w:r>
      <w:r w:rsidR="0008633E" w:rsidRPr="00534FD1">
        <w:rPr>
          <w:szCs w:val="20"/>
        </w:rPr>
        <w:t xml:space="preserve"> pesos</w:t>
      </w:r>
      <w:r w:rsidR="0008633E">
        <w:rPr>
          <w:szCs w:val="20"/>
        </w:rPr>
        <w:t xml:space="preserve"> 00/100 M.N. (PEF 202</w:t>
      </w:r>
      <w:r w:rsidR="001C37BF">
        <w:rPr>
          <w:szCs w:val="20"/>
        </w:rPr>
        <w:t>1</w:t>
      </w:r>
      <w:r w:rsidR="006B791C" w:rsidRPr="00452737">
        <w:rPr>
          <w:szCs w:val="20"/>
        </w:rPr>
        <w:t>)</w:t>
      </w:r>
    </w:p>
    <w:p w14:paraId="31CE5A1C" w14:textId="60F7251E" w:rsidR="006B791C" w:rsidRPr="00452737" w:rsidRDefault="006B791C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Presupuesto a vigilar:</w:t>
      </w:r>
      <w:r w:rsidR="001E5CDB">
        <w:rPr>
          <w:szCs w:val="20"/>
        </w:rPr>
        <w:t xml:space="preserve"> </w:t>
      </w:r>
      <w:r w:rsidR="00A113CE">
        <w:rPr>
          <w:szCs w:val="20"/>
        </w:rPr>
        <w:t>El 100% de los recursos autorizados, en el marco del PRODEP, para ser ejercidos durante el ejercicio fiscal vigente</w:t>
      </w:r>
      <w:r w:rsidR="00BA239F" w:rsidRPr="00452737">
        <w:rPr>
          <w:szCs w:val="20"/>
        </w:rPr>
        <w:t>.</w:t>
      </w:r>
    </w:p>
    <w:p w14:paraId="5463A522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Cobertura:</w:t>
      </w:r>
      <w:r w:rsidRPr="00452737">
        <w:rPr>
          <w:szCs w:val="20"/>
        </w:rPr>
        <w:t xml:space="preserve"> La cobertura de atención del Programa es a nivel nacional.</w:t>
      </w:r>
    </w:p>
    <w:p w14:paraId="0DC2F5B4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Cobertura de Contraloría Social:</w:t>
      </w:r>
      <w:r w:rsidRPr="00452737">
        <w:rPr>
          <w:szCs w:val="20"/>
        </w:rPr>
        <w:t xml:space="preserve"> En las 32 entidades federativas que opera el Programa. Ver en las Reglas de Operación Vigentes numeral 3.1. Cobertura y en los Anexos 3c. Listado de Instituciones Públicas de Educación Superior y 3d. Beneficiarios/as, requisitos y procesos de selección para las convocatorias.</w:t>
      </w:r>
    </w:p>
    <w:p w14:paraId="0B58A088" w14:textId="77777777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Forma de concentrar y procesar la información de Contraloría Social:</w:t>
      </w:r>
      <w:r w:rsidRPr="00452737">
        <w:rPr>
          <w:szCs w:val="20"/>
        </w:rPr>
        <w:t xml:space="preserve"> La información se concentra por Institución Pública de Educación Superior (IPES), que son nuestras ejecutoras.</w:t>
      </w:r>
    </w:p>
    <w:p w14:paraId="62134657" w14:textId="34457AFE" w:rsidR="00BA239F" w:rsidRPr="00452737" w:rsidRDefault="00BA23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Población objetivo:</w:t>
      </w:r>
      <w:r w:rsidRPr="00452737">
        <w:rPr>
          <w:szCs w:val="20"/>
        </w:rPr>
        <w:t xml:space="preserve"> </w:t>
      </w:r>
      <w:r w:rsidR="00A53382">
        <w:rPr>
          <w:szCs w:val="20"/>
        </w:rPr>
        <w:t>L</w:t>
      </w:r>
      <w:r w:rsidR="00170C80" w:rsidRPr="00452737">
        <w:rPr>
          <w:szCs w:val="20"/>
        </w:rPr>
        <w:t xml:space="preserve">as IPES coordinadas </w:t>
      </w:r>
      <w:r w:rsidR="00540CE8">
        <w:rPr>
          <w:szCs w:val="20"/>
        </w:rPr>
        <w:t xml:space="preserve">por la Dirección General de Educación Superior Universitaria e Intercultural (DGESUI), </w:t>
      </w:r>
      <w:r w:rsidR="00170C80" w:rsidRPr="00452737">
        <w:rPr>
          <w:szCs w:val="20"/>
        </w:rPr>
        <w:t>que se señalan en el Anexo 3c de las Reglas de Operación</w:t>
      </w:r>
      <w:r w:rsidR="00540CE8">
        <w:rPr>
          <w:szCs w:val="20"/>
        </w:rPr>
        <w:t xml:space="preserve"> vigentes</w:t>
      </w:r>
      <w:r w:rsidR="00170C80" w:rsidRPr="00452737">
        <w:rPr>
          <w:szCs w:val="20"/>
        </w:rPr>
        <w:t>.</w:t>
      </w:r>
    </w:p>
    <w:p w14:paraId="187E55A5" w14:textId="7801AC17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Beneficiario:</w:t>
      </w:r>
      <w:r w:rsidR="00455954" w:rsidRPr="00452737">
        <w:rPr>
          <w:szCs w:val="20"/>
        </w:rPr>
        <w:t xml:space="preserve"> Los</w:t>
      </w:r>
      <w:r w:rsidR="0040614F">
        <w:rPr>
          <w:szCs w:val="20"/>
        </w:rPr>
        <w:t>(as)</w:t>
      </w:r>
      <w:r w:rsidR="00455954" w:rsidRPr="00452737">
        <w:rPr>
          <w:szCs w:val="20"/>
        </w:rPr>
        <w:t xml:space="preserve"> PTC y CA que concursaron en la Convocatorias y recibieron un dictamen aprobatorio.</w:t>
      </w:r>
    </w:p>
    <w:p w14:paraId="41A84CD8" w14:textId="11B27EE3" w:rsidR="00BA239F" w:rsidRPr="00452737" w:rsidRDefault="00170C80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Beneficiario de Contraloría social:</w:t>
      </w:r>
      <w:r w:rsidR="00455954" w:rsidRPr="00452737">
        <w:rPr>
          <w:szCs w:val="20"/>
        </w:rPr>
        <w:t xml:space="preserve"> </w:t>
      </w:r>
      <w:r w:rsidR="00A113CE">
        <w:rPr>
          <w:szCs w:val="20"/>
        </w:rPr>
        <w:t xml:space="preserve">Todos los profesores de tiempo completo adscritos a la IPES </w:t>
      </w:r>
    </w:p>
    <w:p w14:paraId="7098D342" w14:textId="77777777" w:rsidR="00BA239F" w:rsidRPr="00452737" w:rsidRDefault="00A53656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Comités: </w:t>
      </w:r>
    </w:p>
    <w:p w14:paraId="31ED6E2F" w14:textId="77777777" w:rsidR="00BA239F" w:rsidRPr="00452737" w:rsidRDefault="007649AD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 pueden crear tantos comités</w:t>
      </w:r>
      <w:r w:rsidR="003956F8" w:rsidRPr="00452737">
        <w:rPr>
          <w:szCs w:val="20"/>
        </w:rPr>
        <w:t xml:space="preserve"> como decida la IPES, puede ser por campus o por tipo de apoyo.</w:t>
      </w:r>
    </w:p>
    <w:p w14:paraId="71F7B64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Las responsabilidades y/o principales tareas están definidas en los “Lineamientos para la promoción y operación de la Contraloría Social en los Programas Federales de Desarrollo Social”, sección III.</w:t>
      </w:r>
    </w:p>
    <w:p w14:paraId="4719A52D" w14:textId="77777777" w:rsidR="00BA239F" w:rsidRPr="00452737" w:rsidRDefault="003956F8" w:rsidP="001F742A">
      <w:pPr>
        <w:pStyle w:val="Prrafodelista"/>
        <w:numPr>
          <w:ilvl w:val="0"/>
          <w:numId w:val="2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Las ejecutoras pueden crear los mecanismos que consideren pertinentes para el buen </w:t>
      </w:r>
      <w:r w:rsidRPr="00452737">
        <w:rPr>
          <w:szCs w:val="20"/>
        </w:rPr>
        <w:lastRenderedPageBreak/>
        <w:t>funcionamiento de dichos comités.</w:t>
      </w:r>
    </w:p>
    <w:p w14:paraId="3DE29D45" w14:textId="77777777" w:rsidR="00BA239F" w:rsidRPr="00452737" w:rsidRDefault="003956F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b/>
          <w:szCs w:val="20"/>
        </w:rPr>
      </w:pPr>
      <w:r w:rsidRPr="00452737">
        <w:rPr>
          <w:b/>
          <w:szCs w:val="20"/>
        </w:rPr>
        <w:t xml:space="preserve">Características de los apoyos que proporciona el Programa: </w:t>
      </w:r>
    </w:p>
    <w:p w14:paraId="39B82573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Apoyos para estudios de posgrado de alta calidad.</w:t>
      </w:r>
    </w:p>
    <w:p w14:paraId="68818E42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de implementos básicos para el trabajo académico de los PTC con perfil deseable.</w:t>
      </w:r>
    </w:p>
    <w:p w14:paraId="4D3B5FE1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Apoyo a la reincorporación de Exbecarios/as PROMEP e incorporación de nuevos/as PTC.</w:t>
      </w:r>
    </w:p>
    <w:p w14:paraId="79DA15C6" w14:textId="77777777" w:rsidR="00106810" w:rsidRPr="00452737" w:rsidRDefault="00106810" w:rsidP="001F742A">
      <w:pPr>
        <w:pStyle w:val="Prrafodelista"/>
        <w:numPr>
          <w:ilvl w:val="0"/>
          <w:numId w:val="3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 xml:space="preserve">Apoyo para </w:t>
      </w:r>
      <w:r w:rsidR="00B22F81">
        <w:rPr>
          <w:szCs w:val="20"/>
        </w:rPr>
        <w:t xml:space="preserve">el Fortalecimiento de los CAEF, Gastos de publicación </w:t>
      </w:r>
      <w:r w:rsidRPr="00452737">
        <w:rPr>
          <w:szCs w:val="20"/>
        </w:rPr>
        <w:t>y Apoyos Posdoctorales.</w:t>
      </w:r>
    </w:p>
    <w:p w14:paraId="2612977B" w14:textId="78CB3CD4" w:rsidR="0088379E" w:rsidRPr="00B8785C" w:rsidRDefault="00540CE8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B8785C">
        <w:rPr>
          <w:b/>
          <w:szCs w:val="20"/>
        </w:rPr>
        <w:t>Montos que vigilar</w:t>
      </w:r>
      <w:r w:rsidR="0088379E" w:rsidRPr="00B8785C">
        <w:rPr>
          <w:b/>
          <w:szCs w:val="20"/>
        </w:rPr>
        <w:t xml:space="preserve"> por parte del Comité:</w:t>
      </w:r>
      <w:r w:rsidR="0088379E" w:rsidRPr="00B8785C">
        <w:rPr>
          <w:szCs w:val="20"/>
        </w:rPr>
        <w:t xml:space="preserve"> </w:t>
      </w:r>
      <w:r w:rsidR="00503D7C">
        <w:rPr>
          <w:szCs w:val="20"/>
        </w:rPr>
        <w:t>Se vigilará el 100% del presupuesto</w:t>
      </w:r>
      <w:r w:rsidR="00B8785C">
        <w:rPr>
          <w:szCs w:val="20"/>
        </w:rPr>
        <w:t xml:space="preserve"> autorizado.</w:t>
      </w:r>
    </w:p>
    <w:p w14:paraId="324A057A" w14:textId="77777777" w:rsidR="00130D9F" w:rsidRPr="00452737" w:rsidRDefault="00130D9F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Frecuencia con la que se captura la información en el sistema:</w:t>
      </w:r>
      <w:r w:rsidRPr="00452737">
        <w:rPr>
          <w:szCs w:val="20"/>
        </w:rPr>
        <w:t xml:space="preserve"> Las IPES deberán resguardar toda la información y documentación generada de la promoción de las actividades de Contraloría Social y capturar en el SICS lo siguiente:</w:t>
      </w:r>
    </w:p>
    <w:p w14:paraId="5CC0F136" w14:textId="77777777" w:rsidR="00130D9F" w:rsidRPr="0040614F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0614F">
        <w:rPr>
          <w:szCs w:val="20"/>
        </w:rPr>
        <w:t>Actividades de promoción y asesoría que se lleven a cabo en la IPES: durante los 10 días hábiles siguientes al término de cada actividad.</w:t>
      </w:r>
    </w:p>
    <w:p w14:paraId="70F280ED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Registro de los Comités: durante los 3 días hábiles siguientes a la reunión del Comité.</w:t>
      </w:r>
    </w:p>
    <w:p w14:paraId="2248FBE9" w14:textId="77777777" w:rsidR="00655E04" w:rsidRPr="00452737" w:rsidRDefault="00655E04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las minutas: durante los 3 días hábiles siguientes a la reunión del Comité.</w:t>
      </w:r>
    </w:p>
    <w:p w14:paraId="64F4DE34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inicial: durante los tres días hábiles siguientes de su llenado.</w:t>
      </w:r>
    </w:p>
    <w:p w14:paraId="20FD5273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Información contenida en el informe final: durante los tres días hábiles siguientes de su llenado.</w:t>
      </w:r>
    </w:p>
    <w:p w14:paraId="3150CC49" w14:textId="77777777" w:rsidR="001F742A" w:rsidRPr="00452737" w:rsidRDefault="001F742A" w:rsidP="001F742A">
      <w:pPr>
        <w:pStyle w:val="Prrafodelista"/>
        <w:numPr>
          <w:ilvl w:val="0"/>
          <w:numId w:val="4"/>
        </w:numPr>
        <w:spacing w:line="360" w:lineRule="auto"/>
        <w:jc w:val="both"/>
        <w:rPr>
          <w:szCs w:val="20"/>
        </w:rPr>
      </w:pPr>
      <w:r w:rsidRPr="00452737">
        <w:rPr>
          <w:szCs w:val="20"/>
        </w:rPr>
        <w:t>Seguimiento correspondiente a las actividades de la Contraloría Social: durante los 10 días hábiles siguientes al término de cada actividad.</w:t>
      </w:r>
    </w:p>
    <w:p w14:paraId="03B9E371" w14:textId="7524676E" w:rsidR="001F742A" w:rsidRPr="00452737" w:rsidRDefault="001F742A" w:rsidP="001F742A">
      <w:pPr>
        <w:pStyle w:val="Prrafodelista"/>
        <w:numPr>
          <w:ilvl w:val="0"/>
          <w:numId w:val="1"/>
        </w:numPr>
        <w:spacing w:line="360" w:lineRule="auto"/>
        <w:ind w:left="426"/>
        <w:jc w:val="both"/>
        <w:rPr>
          <w:szCs w:val="20"/>
        </w:rPr>
      </w:pPr>
      <w:r w:rsidRPr="00452737">
        <w:rPr>
          <w:b/>
          <w:szCs w:val="20"/>
        </w:rPr>
        <w:t>Estructura operativa del Programa:</w:t>
      </w:r>
      <w:r w:rsidRPr="00452737">
        <w:rPr>
          <w:szCs w:val="20"/>
        </w:rPr>
        <w:t xml:space="preserve"> </w:t>
      </w:r>
      <w:r w:rsidR="00540CE8">
        <w:rPr>
          <w:szCs w:val="20"/>
        </w:rPr>
        <w:t xml:space="preserve">La Dirección de Fortalecimiento Institucional (DFI) </w:t>
      </w:r>
      <w:r w:rsidRPr="00452737">
        <w:rPr>
          <w:szCs w:val="20"/>
        </w:rPr>
        <w:t xml:space="preserve">es la </w:t>
      </w:r>
      <w:r w:rsidR="00540CE8" w:rsidRPr="00452737">
        <w:rPr>
          <w:szCs w:val="20"/>
        </w:rPr>
        <w:t xml:space="preserve">Instancia Normativa </w:t>
      </w:r>
      <w:r w:rsidRPr="00452737">
        <w:rPr>
          <w:szCs w:val="20"/>
        </w:rPr>
        <w:t xml:space="preserve">y las IPES son </w:t>
      </w:r>
      <w:r w:rsidR="00540CE8">
        <w:rPr>
          <w:szCs w:val="20"/>
        </w:rPr>
        <w:t xml:space="preserve">las Instancias Ejecutoras o </w:t>
      </w:r>
      <w:r w:rsidR="00540CE8" w:rsidRPr="00452737">
        <w:rPr>
          <w:szCs w:val="20"/>
        </w:rPr>
        <w:t>Ejecutoras Estatales</w:t>
      </w:r>
      <w:r w:rsidRPr="00452737">
        <w:rPr>
          <w:szCs w:val="20"/>
        </w:rPr>
        <w:t>.</w:t>
      </w:r>
    </w:p>
    <w:sectPr w:rsidR="001F742A" w:rsidRPr="00452737">
      <w:headerReference w:type="default" r:id="rId8"/>
      <w:footerReference w:type="default" r:id="rId9"/>
      <w:type w:val="continuous"/>
      <w:pgSz w:w="12240" w:h="15840"/>
      <w:pgMar w:top="1500" w:right="14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C3970" w14:textId="77777777" w:rsidR="00C335FE" w:rsidRDefault="00C335FE" w:rsidP="004A12B8">
      <w:r>
        <w:separator/>
      </w:r>
    </w:p>
  </w:endnote>
  <w:endnote w:type="continuationSeparator" w:id="0">
    <w:p w14:paraId="6EB1F54F" w14:textId="77777777" w:rsidR="00C335FE" w:rsidRDefault="00C335FE" w:rsidP="004A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Calibri"/>
    <w:charset w:val="00"/>
    <w:family w:val="auto"/>
    <w:pitch w:val="variable"/>
    <w:sig w:usb0="20000207" w:usb1="00000000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8059093"/>
      <w:docPartObj>
        <w:docPartGallery w:val="Page Numbers (Bottom of Page)"/>
        <w:docPartUnique/>
      </w:docPartObj>
    </w:sdtPr>
    <w:sdtEndPr/>
    <w:sdtContent>
      <w:p w14:paraId="435438E2" w14:textId="2C7A5E4A" w:rsidR="001008A8" w:rsidRDefault="001008A8">
        <w:pPr>
          <w:pStyle w:val="Piedepgina"/>
          <w:jc w:val="right"/>
        </w:pP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PAGE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534FD1">
          <w:rPr>
            <w:rFonts w:ascii="Montserrat" w:hAnsi="Montserrat"/>
            <w:noProof/>
            <w:sz w:val="16"/>
            <w:szCs w:val="16"/>
          </w:rPr>
          <w:t>2</w:t>
        </w:r>
        <w:r>
          <w:rPr>
            <w:rFonts w:ascii="Montserrat" w:hAnsi="Montserrat"/>
            <w:sz w:val="16"/>
            <w:szCs w:val="16"/>
          </w:rPr>
          <w:fldChar w:fldCharType="end"/>
        </w:r>
        <w:r>
          <w:rPr>
            <w:rFonts w:ascii="Montserrat" w:hAnsi="Montserrat"/>
            <w:sz w:val="16"/>
            <w:szCs w:val="16"/>
          </w:rPr>
          <w:t xml:space="preserve"> de </w:t>
        </w:r>
        <w:r>
          <w:rPr>
            <w:rFonts w:ascii="Montserrat" w:hAnsi="Montserrat"/>
            <w:sz w:val="16"/>
            <w:szCs w:val="16"/>
          </w:rPr>
          <w:fldChar w:fldCharType="begin"/>
        </w:r>
        <w:r>
          <w:rPr>
            <w:rFonts w:ascii="Montserrat" w:hAnsi="Montserrat"/>
            <w:sz w:val="16"/>
            <w:szCs w:val="16"/>
          </w:rPr>
          <w:instrText xml:space="preserve"> SECTIONPAGES   \* MERGEFORMAT </w:instrText>
        </w:r>
        <w:r>
          <w:rPr>
            <w:rFonts w:ascii="Montserrat" w:hAnsi="Montserrat"/>
            <w:sz w:val="16"/>
            <w:szCs w:val="16"/>
          </w:rPr>
          <w:fldChar w:fldCharType="separate"/>
        </w:r>
        <w:r w:rsidR="00D629E9">
          <w:rPr>
            <w:rFonts w:ascii="Montserrat" w:hAnsi="Montserrat"/>
            <w:noProof/>
            <w:sz w:val="16"/>
            <w:szCs w:val="16"/>
          </w:rPr>
          <w:t>2</w:t>
        </w:r>
        <w:r>
          <w:rPr>
            <w:rFonts w:ascii="Montserrat" w:hAnsi="Montserrat"/>
            <w:sz w:val="16"/>
            <w:szCs w:val="16"/>
          </w:rPr>
          <w:fldChar w:fldCharType="end"/>
        </w:r>
      </w:p>
    </w:sdtContent>
  </w:sdt>
  <w:p w14:paraId="11170E5F" w14:textId="77777777" w:rsidR="001008A8" w:rsidRDefault="001008A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E0936" w14:textId="77777777" w:rsidR="00C335FE" w:rsidRDefault="00C335FE" w:rsidP="004A12B8">
      <w:r>
        <w:separator/>
      </w:r>
    </w:p>
  </w:footnote>
  <w:footnote w:type="continuationSeparator" w:id="0">
    <w:p w14:paraId="4B64DC12" w14:textId="77777777" w:rsidR="00C335FE" w:rsidRDefault="00C335FE" w:rsidP="004A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24910" w14:textId="4C30437B" w:rsidR="004A12B8" w:rsidRDefault="004A12B8" w:rsidP="004A12B8">
    <w:pPr>
      <w:pStyle w:val="Textoindependiente"/>
      <w:tabs>
        <w:tab w:val="left" w:pos="3273"/>
        <w:tab w:val="left" w:pos="5217"/>
        <w:tab w:val="left" w:pos="7502"/>
      </w:tabs>
      <w:ind w:left="254"/>
    </w:pPr>
    <w:r w:rsidRPr="00BC5FE4">
      <w:rPr>
        <w:noProof/>
        <w:lang w:val="en-US" w:eastAsia="en-US" w:bidi="ar-SA"/>
      </w:rPr>
      <w:drawing>
        <wp:anchor distT="0" distB="0" distL="114300" distR="114300" simplePos="0" relativeHeight="251660288" behindDoc="1" locked="0" layoutInCell="1" allowOverlap="1" wp14:anchorId="5A753F0C" wp14:editId="5F009EB4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723900" cy="820452"/>
          <wp:effectExtent l="0" t="0" r="0" b="0"/>
          <wp:wrapNone/>
          <wp:docPr id="62" name="Imagen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20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eastAsiaTheme="minorEastAsia"/>
        <w:noProof/>
        <w:sz w:val="24"/>
        <w:szCs w:val="24"/>
        <w:lang w:val="en-US" w:eastAsia="en-US" w:bidi="ar-SA"/>
      </w:rPr>
      <w:drawing>
        <wp:anchor distT="0" distB="0" distL="114300" distR="114300" simplePos="0" relativeHeight="251658240" behindDoc="0" locked="0" layoutInCell="1" allowOverlap="1" wp14:anchorId="35D53615" wp14:editId="4F88A389">
          <wp:simplePos x="0" y="0"/>
          <wp:positionH relativeFrom="margin">
            <wp:posOffset>5549900</wp:posOffset>
          </wp:positionH>
          <wp:positionV relativeFrom="paragraph">
            <wp:posOffset>-120650</wp:posOffset>
          </wp:positionV>
          <wp:extent cx="825500" cy="715645"/>
          <wp:effectExtent l="0" t="0" r="0" b="0"/>
          <wp:wrapThrough wrapText="bothSides">
            <wp:wrapPolygon edited="0">
              <wp:start x="0" y="0"/>
              <wp:lineTo x="0" y="21274"/>
              <wp:lineTo x="20935" y="21274"/>
              <wp:lineTo x="20935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269" t="16478" r="11397" b="15358"/>
                  <a:stretch>
                    <a:fillRect/>
                  </a:stretch>
                </pic:blipFill>
                <pic:spPr bwMode="auto">
                  <a:xfrm>
                    <a:off x="0" y="0"/>
                    <a:ext cx="825500" cy="715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position w:val="1"/>
      </w:rPr>
      <w:tab/>
    </w:r>
    <w:r>
      <w:rPr>
        <w:noProof/>
        <w:position w:val="24"/>
        <w:lang w:val="en-US" w:eastAsia="en-US" w:bidi="ar-SA"/>
      </w:rPr>
      <w:drawing>
        <wp:inline distT="0" distB="0" distL="0" distR="0" wp14:anchorId="47F6ABCA" wp14:editId="5D29493C">
          <wp:extent cx="934611" cy="214693"/>
          <wp:effectExtent l="0" t="0" r="0" b="0"/>
          <wp:docPr id="4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934611" cy="2146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position w:val="24"/>
      </w:rPr>
      <w:tab/>
    </w:r>
    <w:r w:rsidR="00332DC1">
      <w:rPr>
        <w:noProof/>
      </w:rPr>
      <w:t xml:space="preserve">                   </w:t>
    </w:r>
    <w:r w:rsidR="00332DC1">
      <w:rPr>
        <w:noProof/>
      </w:rPr>
      <w:drawing>
        <wp:inline distT="0" distB="0" distL="0" distR="0" wp14:anchorId="2E685E49" wp14:editId="74F5EF75">
          <wp:extent cx="572494" cy="565855"/>
          <wp:effectExtent l="0" t="0" r="0" b="571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462" t="12739" r="21964" b="16128"/>
                  <a:stretch/>
                </pic:blipFill>
                <pic:spPr bwMode="auto">
                  <a:xfrm>
                    <a:off x="0" y="0"/>
                    <a:ext cx="606463" cy="5994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position w:val="17"/>
      </w:rPr>
      <w:tab/>
    </w:r>
  </w:p>
  <w:p w14:paraId="6B5996D5" w14:textId="77777777" w:rsidR="004A12B8" w:rsidRDefault="004A12B8" w:rsidP="004A12B8">
    <w:pPr>
      <w:pStyle w:val="Textoindependiente"/>
      <w:spacing w:before="1"/>
      <w:rPr>
        <w:sz w:val="3"/>
      </w:rPr>
    </w:pPr>
  </w:p>
  <w:p w14:paraId="66FC4B6C" w14:textId="77777777" w:rsidR="004A12B8" w:rsidRDefault="004A12B8">
    <w:pPr>
      <w:pStyle w:val="Encabezado"/>
    </w:pPr>
  </w:p>
  <w:p w14:paraId="77E64EF7" w14:textId="77777777" w:rsidR="004A12B8" w:rsidRDefault="004A12B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5A2ACB"/>
    <w:multiLevelType w:val="hybridMultilevel"/>
    <w:tmpl w:val="CEBA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792BD3"/>
    <w:multiLevelType w:val="hybridMultilevel"/>
    <w:tmpl w:val="79FEA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48596B"/>
    <w:multiLevelType w:val="hybridMultilevel"/>
    <w:tmpl w:val="7338B78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E9B628B"/>
    <w:multiLevelType w:val="hybridMultilevel"/>
    <w:tmpl w:val="516AE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4B5"/>
    <w:rsid w:val="00034C0E"/>
    <w:rsid w:val="0008633E"/>
    <w:rsid w:val="000F73A4"/>
    <w:rsid w:val="001008A8"/>
    <w:rsid w:val="00106810"/>
    <w:rsid w:val="00130D9F"/>
    <w:rsid w:val="00143903"/>
    <w:rsid w:val="00170C80"/>
    <w:rsid w:val="00172C19"/>
    <w:rsid w:val="001B6E59"/>
    <w:rsid w:val="001C37BF"/>
    <w:rsid w:val="001E5CDB"/>
    <w:rsid w:val="001F742A"/>
    <w:rsid w:val="00241F71"/>
    <w:rsid w:val="0024437F"/>
    <w:rsid w:val="002F1E6A"/>
    <w:rsid w:val="00332DC1"/>
    <w:rsid w:val="003956F8"/>
    <w:rsid w:val="0040614F"/>
    <w:rsid w:val="00452737"/>
    <w:rsid w:val="00455954"/>
    <w:rsid w:val="004A12B8"/>
    <w:rsid w:val="00503D7C"/>
    <w:rsid w:val="00534FD1"/>
    <w:rsid w:val="00540CE8"/>
    <w:rsid w:val="00545112"/>
    <w:rsid w:val="00597D36"/>
    <w:rsid w:val="00655E04"/>
    <w:rsid w:val="006B791C"/>
    <w:rsid w:val="00712410"/>
    <w:rsid w:val="00737DB2"/>
    <w:rsid w:val="007649AD"/>
    <w:rsid w:val="008164CB"/>
    <w:rsid w:val="0088379E"/>
    <w:rsid w:val="008B6225"/>
    <w:rsid w:val="009A4174"/>
    <w:rsid w:val="00A113CE"/>
    <w:rsid w:val="00A50CCC"/>
    <w:rsid w:val="00A53382"/>
    <w:rsid w:val="00A53656"/>
    <w:rsid w:val="00AA7469"/>
    <w:rsid w:val="00B0529C"/>
    <w:rsid w:val="00B22F81"/>
    <w:rsid w:val="00B239DE"/>
    <w:rsid w:val="00B77428"/>
    <w:rsid w:val="00B8785C"/>
    <w:rsid w:val="00BA239F"/>
    <w:rsid w:val="00C13A9A"/>
    <w:rsid w:val="00C335FE"/>
    <w:rsid w:val="00CA0AE4"/>
    <w:rsid w:val="00D629E9"/>
    <w:rsid w:val="00E446B7"/>
    <w:rsid w:val="00E824B5"/>
    <w:rsid w:val="00EB77F1"/>
    <w:rsid w:val="00F8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04B57A"/>
  <w15:docId w15:val="{EC7D859C-EA9E-4675-8263-A4C6DF5C2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s-ES" w:eastAsia="es-ES" w:bidi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Encabezado">
    <w:name w:val="header"/>
    <w:basedOn w:val="Normal"/>
    <w:link w:val="Encabezado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4A12B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2B8"/>
    <w:rPr>
      <w:rFonts w:ascii="Arial" w:eastAsia="Arial" w:hAnsi="Arial" w:cs="Arial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0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0AE4"/>
    <w:rPr>
      <w:rFonts w:ascii="Segoe UI" w:eastAsia="Arial" w:hAnsi="Segoe UI" w:cs="Segoe UI"/>
      <w:sz w:val="18"/>
      <w:szCs w:val="18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AC7199-C6AA-429C-AF63-D27BD3BA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alrodriguez</dc:creator>
  <cp:lastModifiedBy>Aquileo Benito Ramirez</cp:lastModifiedBy>
  <cp:revision>2</cp:revision>
  <cp:lastPrinted>2019-02-18T17:12:00Z</cp:lastPrinted>
  <dcterms:created xsi:type="dcterms:W3CDTF">2021-09-06T22:36:00Z</dcterms:created>
  <dcterms:modified xsi:type="dcterms:W3CDTF">2021-09-06T22:36:00Z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2018-04-11T00:00:00Z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2019-02-08T00:00:00Z</vt:filetime>
  </property>
</Properties>
</file>